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45CE91A3" w:rsidR="00113C5A" w:rsidRPr="00455A3C" w:rsidRDefault="00113C5A" w:rsidP="00AC35C4">
      <w:pPr>
        <w:pStyle w:val="F2-zkladn"/>
        <w:rPr>
          <w:b/>
          <w:sz w:val="28"/>
          <w:szCs w:val="28"/>
        </w:rPr>
      </w:pPr>
    </w:p>
    <w:p w14:paraId="3DFA4004" w14:textId="0AE700F5" w:rsidR="00B123FF" w:rsidRPr="00455A3C" w:rsidRDefault="00B123FF" w:rsidP="00AC35C4">
      <w:pPr>
        <w:pStyle w:val="F2-zkladn"/>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4476B0BF" w14:textId="3C0F6C25" w:rsidR="000A2833" w:rsidRPr="00455A3C" w:rsidRDefault="0018797C" w:rsidP="00AC35C4">
      <w:pPr>
        <w:pStyle w:val="F2-zkladn"/>
        <w:rPr>
          <w:b/>
          <w:sz w:val="28"/>
          <w:szCs w:val="28"/>
        </w:rPr>
      </w:pPr>
      <w:r>
        <w:rPr>
          <w:noProof/>
        </w:rPr>
        <mc:AlternateContent>
          <mc:Choice Requires="wps">
            <w:drawing>
              <wp:inline distT="0" distB="0" distL="0" distR="0" wp14:anchorId="65142C85" wp14:editId="4D6C1418">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2388318"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18675A51" w14:textId="001D1EF0" w:rsidR="000A2833" w:rsidRPr="00455A3C" w:rsidRDefault="0018797C" w:rsidP="00AC35C4">
      <w:pPr>
        <w:pStyle w:val="F2-zkladn"/>
        <w:tabs>
          <w:tab w:val="right" w:pos="9070"/>
        </w:tabs>
      </w:pPr>
      <w:r>
        <w:rPr>
          <w:noProof/>
        </w:rPr>
        <mc:AlternateContent>
          <mc:Choice Requires="wps">
            <w:drawing>
              <wp:inline distT="0" distB="0" distL="0" distR="0" wp14:anchorId="69E119FC" wp14:editId="30D57B6D">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C5EE2D5"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2D22C6">
        <w:t>13</w:t>
      </w:r>
      <w:r w:rsidR="00A30105" w:rsidRPr="00455A3C">
        <w:t xml:space="preserve">. </w:t>
      </w:r>
      <w:r w:rsidR="005D3F78">
        <w:t>červ</w:t>
      </w:r>
      <w:r w:rsidR="0057123D">
        <w:t>ence</w:t>
      </w:r>
      <w:r w:rsidR="00A30105" w:rsidRPr="00455A3C">
        <w:t xml:space="preserve"> 20</w:t>
      </w:r>
      <w:r w:rsidR="00A7414F" w:rsidRPr="00455A3C">
        <w:t>2</w:t>
      </w:r>
      <w:r w:rsidR="00534D3B">
        <w:t>2</w:t>
      </w:r>
    </w:p>
    <w:p w14:paraId="06416E19" w14:textId="308B8739" w:rsidR="000C727D" w:rsidRDefault="000C727D" w:rsidP="00303102">
      <w:pPr>
        <w:spacing w:after="120"/>
        <w:rPr>
          <w:b/>
          <w:sz w:val="28"/>
          <w:szCs w:val="28"/>
        </w:rPr>
      </w:pPr>
    </w:p>
    <w:p w14:paraId="563CBE10" w14:textId="4E79FDEA" w:rsidR="00303102" w:rsidRDefault="0057123D" w:rsidP="00611687">
      <w:pPr>
        <w:spacing w:after="120"/>
        <w:rPr>
          <w:b/>
          <w:sz w:val="28"/>
          <w:szCs w:val="28"/>
        </w:rPr>
      </w:pPr>
      <w:r>
        <w:rPr>
          <w:b/>
          <w:sz w:val="28"/>
          <w:szCs w:val="28"/>
        </w:rPr>
        <w:t xml:space="preserve">Fidelity International: </w:t>
      </w:r>
      <w:r w:rsidR="002D22C6">
        <w:rPr>
          <w:b/>
          <w:sz w:val="28"/>
          <w:szCs w:val="28"/>
        </w:rPr>
        <w:t xml:space="preserve">Jsou připravené „ingredience“ pro cenově-mzdovou spirálu? </w:t>
      </w:r>
    </w:p>
    <w:p w14:paraId="084104C0" w14:textId="278B92D2" w:rsidR="002D22C6" w:rsidRDefault="002D22C6" w:rsidP="002D22C6">
      <w:pPr>
        <w:spacing w:after="210" w:line="240" w:lineRule="auto"/>
        <w:rPr>
          <w:rFonts w:asciiTheme="minorHAnsi" w:eastAsiaTheme="minorHAnsi" w:hAnsiTheme="minorHAnsi" w:cstheme="minorBidi"/>
          <w:b/>
          <w:sz w:val="24"/>
          <w:szCs w:val="24"/>
          <w:lang w:eastAsia="en-US"/>
        </w:rPr>
      </w:pPr>
      <w:r w:rsidRPr="002D22C6">
        <w:rPr>
          <w:rFonts w:asciiTheme="minorHAnsi" w:eastAsiaTheme="minorHAnsi" w:hAnsiTheme="minorHAnsi" w:cstheme="minorBidi"/>
          <w:b/>
          <w:sz w:val="24"/>
          <w:szCs w:val="24"/>
          <w:lang w:eastAsia="en-US"/>
        </w:rPr>
        <w:t>Budou po prudkém nárůstu inflace následovat mzdy? Analytici Fidelity International se domnívají, že ano.</w:t>
      </w:r>
    </w:p>
    <w:p w14:paraId="308C4C8B" w14:textId="49411C20" w:rsidR="002D22C6" w:rsidRPr="002D22C6" w:rsidRDefault="002D22C6" w:rsidP="002D22C6">
      <w:pPr>
        <w:spacing w:after="210" w:line="240" w:lineRule="auto"/>
        <w:rPr>
          <w:color w:val="000000" w:themeColor="text1"/>
        </w:rPr>
      </w:pPr>
      <w:r w:rsidRPr="002D22C6">
        <w:rPr>
          <w:color w:val="000000" w:themeColor="text1"/>
        </w:rPr>
        <w:t>Vyvolávání přízraku stagflace 70. let minulého století je již delší dobu oblíbené, jak mezi investory, tak mezi politickými ekonomy. Příběh – dobře známý i těm, kteří v tomto období nepracovali (nebo se dokonce nenarodili) – vypráví o přetahování se mezi prací a kapitálem, aby na sebe zaměstnanci nenaložili hlavní tíhu cenového šoku z ropy, což vyústilo v cenově-mzdovou spirálu.</w:t>
      </w:r>
    </w:p>
    <w:p w14:paraId="7C434D10" w14:textId="77777777" w:rsidR="000702F0" w:rsidRPr="000702F0" w:rsidRDefault="000702F0" w:rsidP="000702F0">
      <w:pPr>
        <w:spacing w:after="210" w:line="240" w:lineRule="auto"/>
        <w:rPr>
          <w:color w:val="000000" w:themeColor="text1"/>
        </w:rPr>
      </w:pPr>
      <w:r w:rsidRPr="000702F0">
        <w:rPr>
          <w:color w:val="000000" w:themeColor="text1"/>
        </w:rPr>
        <w:t>Nedávný prudký nárůst inflace vyvolal obavy z něčeho podobného. Federální rezervní systém minulý měsíc reagoval zrychlením tempa zpřísňování úrokových sazeb, zatímco Evropská centrální banka naplánovala svou cestu zvyšování úrokových sazeb na svých dvou příštích měnově politických zasedáních. Bank of England také oznámila, že britské podniky očekávají v příštích 12 měsících průměrný růst mezd ve výši 5,1 %, přičemž růst výrobních cen by měl činit 6,1 %.</w:t>
      </w:r>
    </w:p>
    <w:p w14:paraId="13AD0205" w14:textId="6339E472" w:rsidR="002D28A9" w:rsidRDefault="005021C7" w:rsidP="00B87C14">
      <w:pPr>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Graf</w:t>
      </w:r>
      <w:r w:rsidR="00825D4F">
        <w:rPr>
          <w:rFonts w:asciiTheme="minorHAnsi" w:eastAsiaTheme="minorHAnsi" w:hAnsiTheme="minorHAnsi" w:cstheme="minorBidi"/>
          <w:b/>
          <w:sz w:val="24"/>
          <w:szCs w:val="24"/>
          <w:lang w:eastAsia="en-US"/>
        </w:rPr>
        <w:t xml:space="preserve">: </w:t>
      </w:r>
      <w:r w:rsidR="000702F0">
        <w:rPr>
          <w:rFonts w:asciiTheme="minorHAnsi" w:eastAsiaTheme="minorHAnsi" w:hAnsiTheme="minorHAnsi" w:cstheme="minorBidi"/>
          <w:b/>
          <w:sz w:val="24"/>
          <w:szCs w:val="24"/>
          <w:lang w:eastAsia="en-US"/>
        </w:rPr>
        <w:t>Očekávání růstu mezd v různých sektorech</w:t>
      </w:r>
      <w:r w:rsidR="00825D4F">
        <w:rPr>
          <w:rFonts w:asciiTheme="minorHAnsi" w:eastAsiaTheme="minorHAnsi" w:hAnsiTheme="minorHAnsi" w:cstheme="minorBidi"/>
          <w:b/>
          <w:sz w:val="24"/>
          <w:szCs w:val="24"/>
          <w:lang w:eastAsia="en-US"/>
        </w:rPr>
        <w:t>:</w:t>
      </w:r>
    </w:p>
    <w:p w14:paraId="50C4C13E" w14:textId="77777777" w:rsidR="000702F0" w:rsidRDefault="000702F0" w:rsidP="00E270E6">
      <w:pPr>
        <w:spacing w:after="210" w:line="276" w:lineRule="auto"/>
        <w:rPr>
          <w:color w:val="000000" w:themeColor="text1"/>
        </w:rPr>
      </w:pPr>
      <w:r>
        <w:rPr>
          <w:rFonts w:ascii="Times New Roman" w:hAnsi="Times New Roman" w:cs="Times New Roman"/>
          <w:b/>
          <w:bCs/>
          <w:noProof/>
          <w:sz w:val="24"/>
          <w:szCs w:val="24"/>
        </w:rPr>
        <w:drawing>
          <wp:inline distT="0" distB="0" distL="0" distR="0" wp14:anchorId="2940DA64" wp14:editId="4BF3DC7C">
            <wp:extent cx="5759450" cy="2717201"/>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9">
                      <a:extLst>
                        <a:ext uri="{28A0092B-C50C-407E-A947-70E740481C1C}">
                          <a14:useLocalDpi xmlns:a14="http://schemas.microsoft.com/office/drawing/2010/main" val="0"/>
                        </a:ext>
                      </a:extLst>
                    </a:blip>
                    <a:stretch>
                      <a:fillRect/>
                    </a:stretch>
                  </pic:blipFill>
                  <pic:spPr>
                    <a:xfrm>
                      <a:off x="0" y="0"/>
                      <a:ext cx="5759450" cy="2717201"/>
                    </a:xfrm>
                    <a:prstGeom prst="rect">
                      <a:avLst/>
                    </a:prstGeom>
                  </pic:spPr>
                </pic:pic>
              </a:graphicData>
            </a:graphic>
          </wp:inline>
        </w:drawing>
      </w:r>
    </w:p>
    <w:p w14:paraId="273639D6" w14:textId="752CD086" w:rsidR="000702F0" w:rsidRPr="000702F0" w:rsidRDefault="000702F0" w:rsidP="000702F0">
      <w:pPr>
        <w:spacing w:after="210" w:line="240" w:lineRule="auto"/>
        <w:rPr>
          <w:color w:val="000000" w:themeColor="text1"/>
        </w:rPr>
      </w:pPr>
      <w:r w:rsidRPr="000702F0">
        <w:rPr>
          <w:color w:val="000000" w:themeColor="text1"/>
        </w:rPr>
        <w:t xml:space="preserve">Mají centrální banky pravdu, když se obávají cenově mzdové spirály? Nejnovější měsíční průzkum mezi analytiky Fidelity International naznačuje, že je to docela dobře možné. </w:t>
      </w:r>
      <w:r w:rsidR="005D6494">
        <w:rPr>
          <w:color w:val="000000" w:themeColor="text1"/>
        </w:rPr>
        <w:t xml:space="preserve">Celkem </w:t>
      </w:r>
      <w:r w:rsidRPr="000702F0">
        <w:rPr>
          <w:color w:val="000000" w:themeColor="text1"/>
        </w:rPr>
        <w:t>79 % analytiků společnosti Fidelity International uvedlo, že v příštích 12 měsících očekává růst mezd na hlavu ve společnostech, které pokrývají. A jak ukazuje graf, tato očekávání mají analytici pokrývající všechna odvětví ekonomiky. Tato zjištění představují přímý důkaz toho, co zřejmě vyděsilo centrální bankéře v uplynulých týdnech.</w:t>
      </w:r>
    </w:p>
    <w:p w14:paraId="5BB7F03A" w14:textId="239B5C53" w:rsidR="005D6494" w:rsidRPr="005D6494" w:rsidRDefault="005D6494" w:rsidP="005D6494">
      <w:pPr>
        <w:spacing w:after="210" w:line="240" w:lineRule="auto"/>
        <w:rPr>
          <w:color w:val="000000" w:themeColor="text1"/>
        </w:rPr>
      </w:pPr>
      <w:r w:rsidRPr="005D6494">
        <w:rPr>
          <w:color w:val="000000" w:themeColor="text1"/>
        </w:rPr>
        <w:lastRenderedPageBreak/>
        <w:t xml:space="preserve">Existují určité regionální rozdíly. Více než polovina analytiků zaměřených na Čínu očekává, že mzdy v jejich podnicích zůstanou přibližně stejné, zatímco analytici pokrývající Japonsko jsou rozděleni půl na půl, mezi „žádnou změnu“ a </w:t>
      </w:r>
      <w:r>
        <w:rPr>
          <w:color w:val="000000" w:themeColor="text1"/>
        </w:rPr>
        <w:t>„</w:t>
      </w:r>
      <w:r w:rsidRPr="005D6494">
        <w:rPr>
          <w:color w:val="000000" w:themeColor="text1"/>
        </w:rPr>
        <w:t>mírné zvýšení</w:t>
      </w:r>
      <w:r>
        <w:rPr>
          <w:color w:val="000000" w:themeColor="text1"/>
        </w:rPr>
        <w:t>“</w:t>
      </w:r>
      <w:r w:rsidRPr="005D6494">
        <w:rPr>
          <w:color w:val="000000" w:themeColor="text1"/>
        </w:rPr>
        <w:t>. Zajímavé také je, že když stejnou otázku dostali analytici v září, odvětvím s nejvyšším podílem očekávaného růst</w:t>
      </w:r>
      <w:r>
        <w:rPr>
          <w:color w:val="000000" w:themeColor="text1"/>
        </w:rPr>
        <w:t>u</w:t>
      </w:r>
      <w:r w:rsidRPr="005D6494">
        <w:rPr>
          <w:color w:val="000000" w:themeColor="text1"/>
        </w:rPr>
        <w:t xml:space="preserve"> mezd, byl sektor spotřebního zboží. Mírné zvýšení mezd sice zůstává konsenzuálním očekáváním analytiků pokrývajících tento sektor, ale nyní se propadl na konec žebříčku. To odpovídá tomu, že jsou indexy spotřebitelské důvěry v USA a ve Spojeném království na nejnižších úrovních v historii, ostatně předseda Fedu Powell minulý měsíc řekl Kongresu, že recese je "určitě možná".</w:t>
      </w:r>
    </w:p>
    <w:p w14:paraId="1BB5143C" w14:textId="0715E7D3" w:rsidR="005A5AB1" w:rsidRPr="005D6494" w:rsidRDefault="00933951" w:rsidP="005D6494">
      <w:pPr>
        <w:spacing w:after="210" w:line="240" w:lineRule="auto"/>
        <w:rPr>
          <w:color w:val="000000" w:themeColor="text1"/>
        </w:rPr>
      </w:pPr>
      <w:r>
        <w:rPr>
          <w:color w:val="000000" w:themeColor="text1"/>
        </w:rPr>
        <w:t>M</w:t>
      </w:r>
      <w:r w:rsidR="005D6494" w:rsidRPr="005D6494">
        <w:rPr>
          <w:color w:val="000000" w:themeColor="text1"/>
        </w:rPr>
        <w:t xml:space="preserve">ůže </w:t>
      </w:r>
      <w:r>
        <w:rPr>
          <w:color w:val="000000" w:themeColor="text1"/>
        </w:rPr>
        <w:t xml:space="preserve">se tedy </w:t>
      </w:r>
      <w:r w:rsidR="005D6494" w:rsidRPr="005D6494">
        <w:rPr>
          <w:color w:val="000000" w:themeColor="text1"/>
        </w:rPr>
        <w:t>zdát, že motivy cenově-mzdové spirály jsou na místě, operace k jejímu zastavení jsou již také v plném proudu.</w:t>
      </w:r>
    </w:p>
    <w:p w14:paraId="277BA5CD" w14:textId="7E41E4A6" w:rsidR="00725052" w:rsidRPr="00BC4EF0" w:rsidRDefault="00725052" w:rsidP="00725052">
      <w:pPr>
        <w:spacing w:line="240" w:lineRule="auto"/>
      </w:pPr>
      <w:r w:rsidRPr="00455A3C">
        <w:rPr>
          <w:b/>
        </w:rPr>
        <w:t>Pro více informací kontaktujte:</w:t>
      </w:r>
    </w:p>
    <w:p w14:paraId="4D946650" w14:textId="6C61F750" w:rsidR="00725052" w:rsidRPr="00455A3C" w:rsidRDefault="00725052" w:rsidP="00725052">
      <w:pPr>
        <w:spacing w:before="0" w:line="360" w:lineRule="auto"/>
        <w:rPr>
          <w:b/>
        </w:rPr>
      </w:pPr>
    </w:p>
    <w:p w14:paraId="5125F7C8" w14:textId="0F8FEDFE" w:rsidR="00725052" w:rsidRDefault="00725052" w:rsidP="00725052">
      <w:pPr>
        <w:spacing w:before="0" w:line="240" w:lineRule="atLeast"/>
        <w:rPr>
          <w:b/>
        </w:rPr>
      </w:pPr>
      <w:r>
        <w:rPr>
          <w:b/>
        </w:rPr>
        <w:t>Eliška Krohová</w:t>
      </w:r>
    </w:p>
    <w:p w14:paraId="389FA300" w14:textId="56A26D7E" w:rsidR="00725052" w:rsidRPr="00455A3C" w:rsidRDefault="00725052" w:rsidP="00725052">
      <w:pPr>
        <w:spacing w:before="0" w:line="240" w:lineRule="atLeast"/>
        <w:rPr>
          <w:b/>
          <w:bCs/>
        </w:rPr>
      </w:pPr>
      <w:r w:rsidRPr="00455A3C">
        <w:rPr>
          <w:b/>
          <w:bCs/>
        </w:rPr>
        <w:t>Crest Communications, a.s.</w:t>
      </w:r>
    </w:p>
    <w:p w14:paraId="5F3D0DB1" w14:textId="56706B32" w:rsidR="00725052" w:rsidRPr="00455A3C" w:rsidRDefault="00725052" w:rsidP="00725052">
      <w:pPr>
        <w:spacing w:before="0" w:line="240" w:lineRule="atLeast"/>
      </w:pPr>
    </w:p>
    <w:p w14:paraId="44431F36" w14:textId="08FB99FB" w:rsidR="00725052" w:rsidRPr="00455A3C" w:rsidRDefault="00725052" w:rsidP="00725052">
      <w:pPr>
        <w:spacing w:before="0" w:line="240" w:lineRule="atLeast"/>
      </w:pPr>
      <w:r w:rsidRPr="00455A3C">
        <w:t>Ostrovní 126/30</w:t>
      </w:r>
    </w:p>
    <w:p w14:paraId="5E112146" w14:textId="2585BA1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r>
        <w:t>gsm: + 420 720 406 659</w:t>
      </w:r>
    </w:p>
    <w:p w14:paraId="0AF239BB" w14:textId="77777777" w:rsidR="00725052" w:rsidRPr="00455A3C" w:rsidRDefault="00000000" w:rsidP="00725052">
      <w:pPr>
        <w:spacing w:before="0" w:line="240" w:lineRule="atLeast"/>
      </w:pPr>
      <w:r>
        <w:fldChar w:fldCharType="begin"/>
      </w:r>
      <w:r>
        <w:instrText>HYPERLINK \o "blocked::http://www.crestcom.cz http://www.crestcom.cz/"</w:instrText>
      </w:r>
      <w:r>
        <w:fldChar w:fldCharType="separate"/>
      </w:r>
      <w:r>
        <w:rPr>
          <w:b/>
          <w:bCs/>
        </w:rPr>
        <w:t>Chyba! Odkaz není platný.</w:t>
      </w:r>
      <w:r>
        <w:rPr>
          <w:b/>
          <w:bCs/>
        </w:rPr>
        <w:fldChar w:fldCharType="end"/>
      </w:r>
    </w:p>
    <w:p w14:paraId="608210D3" w14:textId="09293958" w:rsidR="000E2910" w:rsidRDefault="00725052" w:rsidP="005A5AB1">
      <w:pPr>
        <w:spacing w:before="0" w:line="240" w:lineRule="atLeast"/>
        <w:rPr>
          <w:rStyle w:val="Hypertextovodkaz"/>
        </w:rPr>
      </w:pPr>
      <w:r w:rsidRPr="00455A3C">
        <w:rPr>
          <w:color w:val="000000"/>
        </w:rPr>
        <w:t xml:space="preserve">e-mail: </w:t>
      </w:r>
      <w:hyperlink r:id="rId10" w:history="1">
        <w:r w:rsidRPr="00E23FD4">
          <w:rPr>
            <w:rStyle w:val="Hypertextovodkaz"/>
          </w:rPr>
          <w:t>eliska.krohova@crestcom.cz</w:t>
        </w:r>
      </w:hyperlink>
    </w:p>
    <w:p w14:paraId="0D899B98" w14:textId="77777777" w:rsidR="005A5AB1" w:rsidRPr="005A5AB1" w:rsidRDefault="005A5AB1" w:rsidP="005A5AB1">
      <w:pPr>
        <w:pStyle w:val="F2-zkladn"/>
      </w:pPr>
    </w:p>
    <w:p w14:paraId="6A2B2C4E"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790519B6" w14:textId="28D60230" w:rsidR="00F0467A" w:rsidRPr="007F7212" w:rsidRDefault="00D404D5" w:rsidP="007F7212">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21A3D48D" w14:textId="77777777" w:rsidR="009D1594" w:rsidRPr="009D1594" w:rsidRDefault="009D1594" w:rsidP="009D1594">
      <w:pPr>
        <w:rPr>
          <w:b/>
          <w:bCs/>
        </w:rPr>
      </w:pPr>
      <w:r w:rsidRPr="009D1594">
        <w:rPr>
          <w:b/>
          <w:bCs/>
        </w:rPr>
        <w:t>Důležité upozornění</w:t>
      </w:r>
    </w:p>
    <w:p w14:paraId="251DEDE8" w14:textId="77777777" w:rsidR="009D1594" w:rsidRPr="009D1594" w:rsidRDefault="009D1594" w:rsidP="009D1594">
      <w:r w:rsidRPr="009D1594">
        <w:t>Toto je propagační materiál. Tento dokument nesmí být bez předchozího souhlasu rozmnožován nebo rozšiřován.</w:t>
      </w:r>
    </w:p>
    <w:p w14:paraId="083C981B" w14:textId="77777777" w:rsidR="009D1594" w:rsidRPr="009D1594" w:rsidRDefault="009D1594" w:rsidP="009D1594">
      <w:r w:rsidRPr="009D1594">
        <w:t>Fidelity International poskytuje informace pouze o svých produktech a neposkytuje investiční poradenství na základě individuálních potřeb, jinak než konkrétně řádně stanovené oprávněnou společností při formální komunikaci s klientem.</w:t>
      </w:r>
    </w:p>
    <w:p w14:paraId="17A3E77A" w14:textId="77777777" w:rsidR="009D1594" w:rsidRPr="009D1594" w:rsidRDefault="009D1594" w:rsidP="009D1594">
      <w:r w:rsidRPr="009D1594">
        <w:lastRenderedPageBreak/>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05F3F87C" w14:textId="77777777" w:rsidR="009D1594" w:rsidRPr="009D1594" w:rsidRDefault="009D1594" w:rsidP="009D1594">
      <w:r w:rsidRPr="009D1594">
        <w:t>Všechny názory představují stanoviska společnosti Fidelity, není-li uvedeno jinak. Fidelity, Fidelity International a logo Fidelity International a symbol měny F jsou všechno ochrannými známkami společnosti FIL Limited.</w:t>
      </w:r>
    </w:p>
    <w:p w14:paraId="7B905342" w14:textId="77777777" w:rsidR="009D1594" w:rsidRPr="009D1594" w:rsidRDefault="009D1594" w:rsidP="009D1594">
      <w:r w:rsidRPr="009D1594">
        <w:t xml:space="preserve">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 </w:t>
      </w:r>
    </w:p>
    <w:p w14:paraId="6AD6FD3D" w14:textId="77777777" w:rsidR="009D1594" w:rsidRPr="009D1594" w:rsidRDefault="009D1594" w:rsidP="009D1594">
      <w:r w:rsidRPr="009D1594">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54BE0D83" w14:textId="77777777" w:rsidR="009D1594" w:rsidRPr="009D1594" w:rsidRDefault="009D1594" w:rsidP="009D1594">
      <w:r w:rsidRPr="009D1594">
        <w:t>Minulá výkonnost není spolehlivým ukazatelem budoucích výsledků.</w:t>
      </w:r>
    </w:p>
    <w:p w14:paraId="1A193A47" w14:textId="77777777" w:rsidR="009D1594" w:rsidRPr="009D1594" w:rsidRDefault="009D1594" w:rsidP="009D1594">
      <w:r w:rsidRPr="009D1594">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54DD678B" w14:textId="77777777" w:rsidR="009D1594" w:rsidRPr="009D1594" w:rsidRDefault="009D1594" w:rsidP="009D1594">
      <w:r w:rsidRPr="009D1594">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4CDA30B6" w14:textId="77777777" w:rsidR="009D1594" w:rsidRPr="009D1594" w:rsidRDefault="009D1594" w:rsidP="009D1594">
      <w:r w:rsidRPr="009D1594">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698BA190" w14:textId="77777777" w:rsidR="009D1594" w:rsidRPr="009D1594" w:rsidRDefault="009D1594" w:rsidP="009D1594">
      <w:r w:rsidRPr="009D1594">
        <w:t>Investoři a potenciální investoři mohou získat informace o svých právech ve spojení se stížnostmi a soudními spory na tomto odkazu: https://www.fidelity.cz (v češtině).</w:t>
      </w:r>
    </w:p>
    <w:p w14:paraId="42EEB31A" w14:textId="6F34BFEF" w:rsidR="009D1594" w:rsidRPr="009D1594" w:rsidRDefault="009D1594" w:rsidP="009D1594">
      <w:pPr>
        <w:pStyle w:val="F2-zkladn"/>
      </w:pPr>
      <w:r>
        <w:t>MKAT10782</w:t>
      </w:r>
    </w:p>
    <w:sectPr w:rsidR="009D1594" w:rsidRPr="009D1594" w:rsidSect="002F1160">
      <w:headerReference w:type="default" r:id="rId11"/>
      <w:footerReference w:type="default" r:id="rId12"/>
      <w:headerReference w:type="first" r:id="rId13"/>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49D3E" w14:textId="77777777" w:rsidR="004A47DC" w:rsidRDefault="004A47DC">
      <w:r>
        <w:separator/>
      </w:r>
    </w:p>
  </w:endnote>
  <w:endnote w:type="continuationSeparator" w:id="0">
    <w:p w14:paraId="3E44E162" w14:textId="77777777" w:rsidR="004A47DC" w:rsidRDefault="004A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E25E1" w14:textId="77777777" w:rsidR="004A47DC" w:rsidRDefault="004A47DC">
      <w:r>
        <w:separator/>
      </w:r>
    </w:p>
  </w:footnote>
  <w:footnote w:type="continuationSeparator" w:id="0">
    <w:p w14:paraId="0E9F4337" w14:textId="77777777" w:rsidR="004A47DC" w:rsidRDefault="004A47DC">
      <w:r>
        <w:continuationSeparator/>
      </w:r>
    </w:p>
  </w:footnote>
  <w:footnote w:type="continuationNotice" w:id="1">
    <w:p w14:paraId="1833B700" w14:textId="77777777" w:rsidR="004A47DC" w:rsidRDefault="004A47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341C23"/>
    <w:multiLevelType w:val="hybridMultilevel"/>
    <w:tmpl w:val="5DBA0010"/>
    <w:lvl w:ilvl="0" w:tplc="E7DEC30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77724"/>
    <w:multiLevelType w:val="hybridMultilevel"/>
    <w:tmpl w:val="02221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BD25466"/>
    <w:multiLevelType w:val="hybridMultilevel"/>
    <w:tmpl w:val="7A70B588"/>
    <w:lvl w:ilvl="0" w:tplc="7592CB3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8"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9"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F82410D"/>
    <w:multiLevelType w:val="hybridMultilevel"/>
    <w:tmpl w:val="C1A46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83B6AF1"/>
    <w:multiLevelType w:val="hybridMultilevel"/>
    <w:tmpl w:val="2334CEEE"/>
    <w:lvl w:ilvl="0" w:tplc="CC4E72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6"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40"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42"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BE01435"/>
    <w:multiLevelType w:val="hybridMultilevel"/>
    <w:tmpl w:val="F5E4CB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71833299">
    <w:abstractNumId w:val="28"/>
  </w:num>
  <w:num w:numId="2" w16cid:durableId="493954874">
    <w:abstractNumId w:val="16"/>
  </w:num>
  <w:num w:numId="3" w16cid:durableId="1675843042">
    <w:abstractNumId w:val="41"/>
  </w:num>
  <w:num w:numId="4" w16cid:durableId="1196701491">
    <w:abstractNumId w:val="45"/>
  </w:num>
  <w:num w:numId="5" w16cid:durableId="905720633">
    <w:abstractNumId w:val="24"/>
  </w:num>
  <w:num w:numId="6" w16cid:durableId="545456852">
    <w:abstractNumId w:val="26"/>
  </w:num>
  <w:num w:numId="7" w16cid:durableId="1580749209">
    <w:abstractNumId w:val="20"/>
  </w:num>
  <w:num w:numId="8" w16cid:durableId="1269385050">
    <w:abstractNumId w:val="44"/>
  </w:num>
  <w:num w:numId="9" w16cid:durableId="887644647">
    <w:abstractNumId w:val="33"/>
  </w:num>
  <w:num w:numId="10" w16cid:durableId="1530607276">
    <w:abstractNumId w:val="8"/>
  </w:num>
  <w:num w:numId="11" w16cid:durableId="1887132678">
    <w:abstractNumId w:val="3"/>
  </w:num>
  <w:num w:numId="12" w16cid:durableId="1919627341">
    <w:abstractNumId w:val="2"/>
  </w:num>
  <w:num w:numId="13" w16cid:durableId="1298149865">
    <w:abstractNumId w:val="1"/>
  </w:num>
  <w:num w:numId="14" w16cid:durableId="734546789">
    <w:abstractNumId w:val="0"/>
  </w:num>
  <w:num w:numId="15" w16cid:durableId="1566064708">
    <w:abstractNumId w:val="10"/>
  </w:num>
  <w:num w:numId="16" w16cid:durableId="324169369">
    <w:abstractNumId w:val="9"/>
  </w:num>
  <w:num w:numId="17" w16cid:durableId="1555963082">
    <w:abstractNumId w:val="7"/>
  </w:num>
  <w:num w:numId="18" w16cid:durableId="2138523693">
    <w:abstractNumId w:val="6"/>
  </w:num>
  <w:num w:numId="19" w16cid:durableId="2127384385">
    <w:abstractNumId w:val="5"/>
  </w:num>
  <w:num w:numId="20" w16cid:durableId="987900952">
    <w:abstractNumId w:val="4"/>
  </w:num>
  <w:num w:numId="21" w16cid:durableId="1938782594">
    <w:abstractNumId w:val="43"/>
  </w:num>
  <w:num w:numId="22" w16cid:durableId="1608349285">
    <w:abstractNumId w:val="40"/>
  </w:num>
  <w:num w:numId="23" w16cid:durableId="1300182251">
    <w:abstractNumId w:val="15"/>
  </w:num>
  <w:num w:numId="24" w16cid:durableId="768501681">
    <w:abstractNumId w:val="23"/>
  </w:num>
  <w:num w:numId="25" w16cid:durableId="773016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2798529">
    <w:abstractNumId w:val="39"/>
  </w:num>
  <w:num w:numId="27" w16cid:durableId="956182462">
    <w:abstractNumId w:val="42"/>
  </w:num>
  <w:num w:numId="28" w16cid:durableId="950405466">
    <w:abstractNumId w:val="32"/>
  </w:num>
  <w:num w:numId="29" w16cid:durableId="19482717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34543583">
    <w:abstractNumId w:val="36"/>
  </w:num>
  <w:num w:numId="31" w16cid:durableId="709644813">
    <w:abstractNumId w:val="19"/>
  </w:num>
  <w:num w:numId="32" w16cid:durableId="1938323727">
    <w:abstractNumId w:val="13"/>
  </w:num>
  <w:num w:numId="33" w16cid:durableId="1836608196">
    <w:abstractNumId w:val="34"/>
  </w:num>
  <w:num w:numId="34" w16cid:durableId="945963880">
    <w:abstractNumId w:val="12"/>
  </w:num>
  <w:num w:numId="35" w16cid:durableId="641815382">
    <w:abstractNumId w:val="38"/>
  </w:num>
  <w:num w:numId="36" w16cid:durableId="850338999">
    <w:abstractNumId w:val="11"/>
  </w:num>
  <w:num w:numId="37" w16cid:durableId="1722830357">
    <w:abstractNumId w:val="35"/>
  </w:num>
  <w:num w:numId="38" w16cid:durableId="38165925">
    <w:abstractNumId w:val="22"/>
  </w:num>
  <w:num w:numId="39" w16cid:durableId="1962563826">
    <w:abstractNumId w:val="29"/>
  </w:num>
  <w:num w:numId="40" w16cid:durableId="281157033">
    <w:abstractNumId w:val="18"/>
  </w:num>
  <w:num w:numId="41" w16cid:durableId="748579138">
    <w:abstractNumId w:val="37"/>
  </w:num>
  <w:num w:numId="42" w16cid:durableId="1712224289">
    <w:abstractNumId w:val="17"/>
  </w:num>
  <w:num w:numId="43" w16cid:durableId="81876194">
    <w:abstractNumId w:val="25"/>
  </w:num>
  <w:num w:numId="44" w16cid:durableId="569851383">
    <w:abstractNumId w:val="27"/>
  </w:num>
  <w:num w:numId="45" w16cid:durableId="348987523">
    <w:abstractNumId w:val="30"/>
  </w:num>
  <w:num w:numId="46" w16cid:durableId="791746958">
    <w:abstractNumId w:val="14"/>
  </w:num>
  <w:num w:numId="47" w16cid:durableId="946497275">
    <w:abstractNumId w:val="21"/>
  </w:num>
  <w:num w:numId="48" w16cid:durableId="1216040953">
    <w:abstractNumId w:val="46"/>
  </w:num>
  <w:num w:numId="49" w16cid:durableId="801390213">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21D97"/>
    <w:rsid w:val="000237A9"/>
    <w:rsid w:val="00026B23"/>
    <w:rsid w:val="00032CD3"/>
    <w:rsid w:val="00033378"/>
    <w:rsid w:val="0003583E"/>
    <w:rsid w:val="00035DD6"/>
    <w:rsid w:val="000363FF"/>
    <w:rsid w:val="00040650"/>
    <w:rsid w:val="00040CE8"/>
    <w:rsid w:val="00040DEC"/>
    <w:rsid w:val="00041B2D"/>
    <w:rsid w:val="00045D38"/>
    <w:rsid w:val="00047888"/>
    <w:rsid w:val="00047D97"/>
    <w:rsid w:val="00047F54"/>
    <w:rsid w:val="000502C0"/>
    <w:rsid w:val="00050575"/>
    <w:rsid w:val="00052178"/>
    <w:rsid w:val="0005404F"/>
    <w:rsid w:val="00054FEF"/>
    <w:rsid w:val="00061775"/>
    <w:rsid w:val="00062BEA"/>
    <w:rsid w:val="000702F0"/>
    <w:rsid w:val="0007034E"/>
    <w:rsid w:val="0007090F"/>
    <w:rsid w:val="00070C89"/>
    <w:rsid w:val="00071169"/>
    <w:rsid w:val="00073A88"/>
    <w:rsid w:val="00073D6F"/>
    <w:rsid w:val="000755DF"/>
    <w:rsid w:val="000763EB"/>
    <w:rsid w:val="000767DF"/>
    <w:rsid w:val="00076A25"/>
    <w:rsid w:val="00076A2B"/>
    <w:rsid w:val="00080750"/>
    <w:rsid w:val="00081DCE"/>
    <w:rsid w:val="00084075"/>
    <w:rsid w:val="00091210"/>
    <w:rsid w:val="00092137"/>
    <w:rsid w:val="000923E4"/>
    <w:rsid w:val="00093C6A"/>
    <w:rsid w:val="00093E98"/>
    <w:rsid w:val="000940D0"/>
    <w:rsid w:val="000A2833"/>
    <w:rsid w:val="000A2D6F"/>
    <w:rsid w:val="000A3FFF"/>
    <w:rsid w:val="000A5FDF"/>
    <w:rsid w:val="000A755E"/>
    <w:rsid w:val="000B0FBB"/>
    <w:rsid w:val="000B2426"/>
    <w:rsid w:val="000B57A2"/>
    <w:rsid w:val="000C0E0E"/>
    <w:rsid w:val="000C17C8"/>
    <w:rsid w:val="000C4D6D"/>
    <w:rsid w:val="000C5471"/>
    <w:rsid w:val="000C727D"/>
    <w:rsid w:val="000C772F"/>
    <w:rsid w:val="000D25CC"/>
    <w:rsid w:val="000D3C66"/>
    <w:rsid w:val="000E2910"/>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72511"/>
    <w:rsid w:val="00172F1C"/>
    <w:rsid w:val="0017506A"/>
    <w:rsid w:val="00177E1C"/>
    <w:rsid w:val="0018406F"/>
    <w:rsid w:val="0018525E"/>
    <w:rsid w:val="0018797C"/>
    <w:rsid w:val="00193268"/>
    <w:rsid w:val="00193655"/>
    <w:rsid w:val="00193CC3"/>
    <w:rsid w:val="00194945"/>
    <w:rsid w:val="00197E01"/>
    <w:rsid w:val="001A085A"/>
    <w:rsid w:val="001A0CB6"/>
    <w:rsid w:val="001A1B9B"/>
    <w:rsid w:val="001A3CA7"/>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4B06"/>
    <w:rsid w:val="001F627F"/>
    <w:rsid w:val="002006D5"/>
    <w:rsid w:val="00201CD7"/>
    <w:rsid w:val="00202F64"/>
    <w:rsid w:val="00206A9C"/>
    <w:rsid w:val="00212B9E"/>
    <w:rsid w:val="00212DDA"/>
    <w:rsid w:val="00216EFA"/>
    <w:rsid w:val="0021765E"/>
    <w:rsid w:val="0021778F"/>
    <w:rsid w:val="00221EE4"/>
    <w:rsid w:val="00224347"/>
    <w:rsid w:val="00224EAE"/>
    <w:rsid w:val="00225670"/>
    <w:rsid w:val="00230204"/>
    <w:rsid w:val="0023028F"/>
    <w:rsid w:val="00230A3C"/>
    <w:rsid w:val="00230B88"/>
    <w:rsid w:val="00231842"/>
    <w:rsid w:val="00231E15"/>
    <w:rsid w:val="00232D93"/>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110E"/>
    <w:rsid w:val="0028168C"/>
    <w:rsid w:val="00282531"/>
    <w:rsid w:val="00283AE5"/>
    <w:rsid w:val="00284C66"/>
    <w:rsid w:val="0029073F"/>
    <w:rsid w:val="00291676"/>
    <w:rsid w:val="00292C1D"/>
    <w:rsid w:val="00293679"/>
    <w:rsid w:val="00296721"/>
    <w:rsid w:val="00296E4C"/>
    <w:rsid w:val="00297E46"/>
    <w:rsid w:val="002A0553"/>
    <w:rsid w:val="002A44A9"/>
    <w:rsid w:val="002A4D2E"/>
    <w:rsid w:val="002B0AFD"/>
    <w:rsid w:val="002B0B15"/>
    <w:rsid w:val="002B14B5"/>
    <w:rsid w:val="002B2991"/>
    <w:rsid w:val="002B5926"/>
    <w:rsid w:val="002B6FCD"/>
    <w:rsid w:val="002B72A2"/>
    <w:rsid w:val="002B7380"/>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E7E"/>
    <w:rsid w:val="00310E2F"/>
    <w:rsid w:val="003177AF"/>
    <w:rsid w:val="00320015"/>
    <w:rsid w:val="00322CF1"/>
    <w:rsid w:val="00327439"/>
    <w:rsid w:val="003274DC"/>
    <w:rsid w:val="00327F8D"/>
    <w:rsid w:val="003301F8"/>
    <w:rsid w:val="00331400"/>
    <w:rsid w:val="003322D8"/>
    <w:rsid w:val="003343C4"/>
    <w:rsid w:val="00340CA2"/>
    <w:rsid w:val="00341E98"/>
    <w:rsid w:val="0035034F"/>
    <w:rsid w:val="003524F1"/>
    <w:rsid w:val="00352F7A"/>
    <w:rsid w:val="00356DCD"/>
    <w:rsid w:val="0036129D"/>
    <w:rsid w:val="00371045"/>
    <w:rsid w:val="00371B42"/>
    <w:rsid w:val="00372D58"/>
    <w:rsid w:val="003731A5"/>
    <w:rsid w:val="003736DA"/>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1594"/>
    <w:rsid w:val="003C19B7"/>
    <w:rsid w:val="003C4059"/>
    <w:rsid w:val="003C50F1"/>
    <w:rsid w:val="003C511D"/>
    <w:rsid w:val="003C6392"/>
    <w:rsid w:val="003C681A"/>
    <w:rsid w:val="003C7DAE"/>
    <w:rsid w:val="003D2083"/>
    <w:rsid w:val="003D2B0F"/>
    <w:rsid w:val="003D626C"/>
    <w:rsid w:val="003E03EB"/>
    <w:rsid w:val="003E1363"/>
    <w:rsid w:val="003F142F"/>
    <w:rsid w:val="003F2E64"/>
    <w:rsid w:val="003F6488"/>
    <w:rsid w:val="003F69CE"/>
    <w:rsid w:val="003F69D9"/>
    <w:rsid w:val="003F6F64"/>
    <w:rsid w:val="003F7813"/>
    <w:rsid w:val="00400B6B"/>
    <w:rsid w:val="00402409"/>
    <w:rsid w:val="00404DB5"/>
    <w:rsid w:val="00405D0D"/>
    <w:rsid w:val="004113D5"/>
    <w:rsid w:val="004125BB"/>
    <w:rsid w:val="0041337E"/>
    <w:rsid w:val="004177E3"/>
    <w:rsid w:val="004202CB"/>
    <w:rsid w:val="00420D53"/>
    <w:rsid w:val="004238B6"/>
    <w:rsid w:val="00425B35"/>
    <w:rsid w:val="00427801"/>
    <w:rsid w:val="0043115E"/>
    <w:rsid w:val="00431E52"/>
    <w:rsid w:val="00433AB4"/>
    <w:rsid w:val="0043546F"/>
    <w:rsid w:val="004428A1"/>
    <w:rsid w:val="004444B6"/>
    <w:rsid w:val="00445D92"/>
    <w:rsid w:val="0045291A"/>
    <w:rsid w:val="00452BD8"/>
    <w:rsid w:val="004544F8"/>
    <w:rsid w:val="00454D44"/>
    <w:rsid w:val="00455259"/>
    <w:rsid w:val="00455A3C"/>
    <w:rsid w:val="0046155B"/>
    <w:rsid w:val="00463E8F"/>
    <w:rsid w:val="00464475"/>
    <w:rsid w:val="00466116"/>
    <w:rsid w:val="004705A5"/>
    <w:rsid w:val="004715F4"/>
    <w:rsid w:val="0047275D"/>
    <w:rsid w:val="00475575"/>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6300"/>
    <w:rsid w:val="004F1DDB"/>
    <w:rsid w:val="004F2995"/>
    <w:rsid w:val="004F324F"/>
    <w:rsid w:val="004F4064"/>
    <w:rsid w:val="004F5136"/>
    <w:rsid w:val="004F688F"/>
    <w:rsid w:val="004F7624"/>
    <w:rsid w:val="005007C8"/>
    <w:rsid w:val="005021C7"/>
    <w:rsid w:val="00502D84"/>
    <w:rsid w:val="00506CD0"/>
    <w:rsid w:val="00510980"/>
    <w:rsid w:val="00512AEC"/>
    <w:rsid w:val="00512D81"/>
    <w:rsid w:val="0051504C"/>
    <w:rsid w:val="005172B1"/>
    <w:rsid w:val="005206E2"/>
    <w:rsid w:val="00521ADE"/>
    <w:rsid w:val="0052280A"/>
    <w:rsid w:val="005248D0"/>
    <w:rsid w:val="00525B77"/>
    <w:rsid w:val="0053070C"/>
    <w:rsid w:val="005314DF"/>
    <w:rsid w:val="005331B5"/>
    <w:rsid w:val="00534D3B"/>
    <w:rsid w:val="005351B3"/>
    <w:rsid w:val="005437B4"/>
    <w:rsid w:val="0054471F"/>
    <w:rsid w:val="005459F5"/>
    <w:rsid w:val="00545B68"/>
    <w:rsid w:val="00546CB9"/>
    <w:rsid w:val="00546DF7"/>
    <w:rsid w:val="0055121B"/>
    <w:rsid w:val="00552B6E"/>
    <w:rsid w:val="00556D4F"/>
    <w:rsid w:val="00557A71"/>
    <w:rsid w:val="00560AED"/>
    <w:rsid w:val="005623DD"/>
    <w:rsid w:val="00563B23"/>
    <w:rsid w:val="0056452E"/>
    <w:rsid w:val="005656FB"/>
    <w:rsid w:val="00567010"/>
    <w:rsid w:val="00570CA6"/>
    <w:rsid w:val="00570F18"/>
    <w:rsid w:val="0057123D"/>
    <w:rsid w:val="005720AF"/>
    <w:rsid w:val="0057387E"/>
    <w:rsid w:val="005847DC"/>
    <w:rsid w:val="005856EF"/>
    <w:rsid w:val="00585CC6"/>
    <w:rsid w:val="00591893"/>
    <w:rsid w:val="00592351"/>
    <w:rsid w:val="00593457"/>
    <w:rsid w:val="00594C42"/>
    <w:rsid w:val="00596841"/>
    <w:rsid w:val="0059684A"/>
    <w:rsid w:val="005A0345"/>
    <w:rsid w:val="005A0903"/>
    <w:rsid w:val="005A2203"/>
    <w:rsid w:val="005A25B7"/>
    <w:rsid w:val="005A33F3"/>
    <w:rsid w:val="005A3C0F"/>
    <w:rsid w:val="005A3EC1"/>
    <w:rsid w:val="005A5AB1"/>
    <w:rsid w:val="005A658B"/>
    <w:rsid w:val="005B1B79"/>
    <w:rsid w:val="005B2F2A"/>
    <w:rsid w:val="005B6F85"/>
    <w:rsid w:val="005C00A9"/>
    <w:rsid w:val="005C4078"/>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4F7E"/>
    <w:rsid w:val="0061601E"/>
    <w:rsid w:val="00617053"/>
    <w:rsid w:val="00617E2A"/>
    <w:rsid w:val="00620ECE"/>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2746"/>
    <w:rsid w:val="00683717"/>
    <w:rsid w:val="00684132"/>
    <w:rsid w:val="00685B75"/>
    <w:rsid w:val="006867CC"/>
    <w:rsid w:val="00690C50"/>
    <w:rsid w:val="00692EE8"/>
    <w:rsid w:val="00696362"/>
    <w:rsid w:val="006A04AE"/>
    <w:rsid w:val="006A0E52"/>
    <w:rsid w:val="006A25B4"/>
    <w:rsid w:val="006A4A62"/>
    <w:rsid w:val="006A7552"/>
    <w:rsid w:val="006B01B9"/>
    <w:rsid w:val="006B0439"/>
    <w:rsid w:val="006B0D10"/>
    <w:rsid w:val="006B0EC2"/>
    <w:rsid w:val="006B13D4"/>
    <w:rsid w:val="006B5383"/>
    <w:rsid w:val="006B6A37"/>
    <w:rsid w:val="006D4517"/>
    <w:rsid w:val="006D7B5A"/>
    <w:rsid w:val="006E1E9E"/>
    <w:rsid w:val="006E4279"/>
    <w:rsid w:val="006E4913"/>
    <w:rsid w:val="006E5555"/>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204B4"/>
    <w:rsid w:val="00720781"/>
    <w:rsid w:val="00722B07"/>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741B"/>
    <w:rsid w:val="00771D19"/>
    <w:rsid w:val="00774584"/>
    <w:rsid w:val="007747BE"/>
    <w:rsid w:val="00781625"/>
    <w:rsid w:val="00781792"/>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F1637"/>
    <w:rsid w:val="007F1B11"/>
    <w:rsid w:val="007F1FBA"/>
    <w:rsid w:val="007F4ABD"/>
    <w:rsid w:val="007F7212"/>
    <w:rsid w:val="007F7B5C"/>
    <w:rsid w:val="00800307"/>
    <w:rsid w:val="00800365"/>
    <w:rsid w:val="00800399"/>
    <w:rsid w:val="008014EC"/>
    <w:rsid w:val="008029B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695E"/>
    <w:rsid w:val="00850650"/>
    <w:rsid w:val="008524C4"/>
    <w:rsid w:val="0085268C"/>
    <w:rsid w:val="00854ABD"/>
    <w:rsid w:val="00864A50"/>
    <w:rsid w:val="00865C11"/>
    <w:rsid w:val="00866290"/>
    <w:rsid w:val="00866978"/>
    <w:rsid w:val="00866D9F"/>
    <w:rsid w:val="00871D3C"/>
    <w:rsid w:val="00872DC6"/>
    <w:rsid w:val="008730BC"/>
    <w:rsid w:val="00874D66"/>
    <w:rsid w:val="0087590B"/>
    <w:rsid w:val="00877D54"/>
    <w:rsid w:val="0088208A"/>
    <w:rsid w:val="00882EAC"/>
    <w:rsid w:val="0088306B"/>
    <w:rsid w:val="0088798F"/>
    <w:rsid w:val="00890B69"/>
    <w:rsid w:val="008936B3"/>
    <w:rsid w:val="008976A7"/>
    <w:rsid w:val="008A0E63"/>
    <w:rsid w:val="008A2257"/>
    <w:rsid w:val="008A33CE"/>
    <w:rsid w:val="008B1F88"/>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6916"/>
    <w:rsid w:val="00950C28"/>
    <w:rsid w:val="00951993"/>
    <w:rsid w:val="00953E57"/>
    <w:rsid w:val="00955C25"/>
    <w:rsid w:val="00956BB5"/>
    <w:rsid w:val="00957676"/>
    <w:rsid w:val="009621B2"/>
    <w:rsid w:val="00963A1A"/>
    <w:rsid w:val="0096654A"/>
    <w:rsid w:val="00971196"/>
    <w:rsid w:val="00973755"/>
    <w:rsid w:val="00980736"/>
    <w:rsid w:val="00983F39"/>
    <w:rsid w:val="00984390"/>
    <w:rsid w:val="00985839"/>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7220"/>
    <w:rsid w:val="009B76CB"/>
    <w:rsid w:val="009B7D6C"/>
    <w:rsid w:val="009C1AD6"/>
    <w:rsid w:val="009C28E1"/>
    <w:rsid w:val="009C2E55"/>
    <w:rsid w:val="009C3DB4"/>
    <w:rsid w:val="009C3F13"/>
    <w:rsid w:val="009C7C8F"/>
    <w:rsid w:val="009D0450"/>
    <w:rsid w:val="009D1594"/>
    <w:rsid w:val="009D1FBA"/>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414F"/>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7E1E"/>
    <w:rsid w:val="00B21C56"/>
    <w:rsid w:val="00B24AE7"/>
    <w:rsid w:val="00B25103"/>
    <w:rsid w:val="00B27A8F"/>
    <w:rsid w:val="00B27B2E"/>
    <w:rsid w:val="00B31D2B"/>
    <w:rsid w:val="00B31E2C"/>
    <w:rsid w:val="00B336AA"/>
    <w:rsid w:val="00B34173"/>
    <w:rsid w:val="00B362ED"/>
    <w:rsid w:val="00B418ED"/>
    <w:rsid w:val="00B43502"/>
    <w:rsid w:val="00B4391E"/>
    <w:rsid w:val="00B46384"/>
    <w:rsid w:val="00B514DC"/>
    <w:rsid w:val="00B522AA"/>
    <w:rsid w:val="00B60AED"/>
    <w:rsid w:val="00B60B0D"/>
    <w:rsid w:val="00B62AB3"/>
    <w:rsid w:val="00B63B5B"/>
    <w:rsid w:val="00B64E9D"/>
    <w:rsid w:val="00B678D4"/>
    <w:rsid w:val="00B7404A"/>
    <w:rsid w:val="00B75AC6"/>
    <w:rsid w:val="00B81F91"/>
    <w:rsid w:val="00B839BA"/>
    <w:rsid w:val="00B86C35"/>
    <w:rsid w:val="00B86DD8"/>
    <w:rsid w:val="00B87C14"/>
    <w:rsid w:val="00B92703"/>
    <w:rsid w:val="00B93072"/>
    <w:rsid w:val="00B94EFB"/>
    <w:rsid w:val="00B97C18"/>
    <w:rsid w:val="00B97EC1"/>
    <w:rsid w:val="00BA1692"/>
    <w:rsid w:val="00BA1BBA"/>
    <w:rsid w:val="00BA2267"/>
    <w:rsid w:val="00BA2E58"/>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5CF2"/>
    <w:rsid w:val="00BE72E5"/>
    <w:rsid w:val="00BF067E"/>
    <w:rsid w:val="00BF22E7"/>
    <w:rsid w:val="00BF2883"/>
    <w:rsid w:val="00BF6FA9"/>
    <w:rsid w:val="00C02033"/>
    <w:rsid w:val="00C05FD9"/>
    <w:rsid w:val="00C06BBC"/>
    <w:rsid w:val="00C06C54"/>
    <w:rsid w:val="00C105ED"/>
    <w:rsid w:val="00C109F0"/>
    <w:rsid w:val="00C11925"/>
    <w:rsid w:val="00C13AC2"/>
    <w:rsid w:val="00C16BE6"/>
    <w:rsid w:val="00C20BEA"/>
    <w:rsid w:val="00C2433C"/>
    <w:rsid w:val="00C24C84"/>
    <w:rsid w:val="00C26014"/>
    <w:rsid w:val="00C264F8"/>
    <w:rsid w:val="00C27D23"/>
    <w:rsid w:val="00C31313"/>
    <w:rsid w:val="00C32874"/>
    <w:rsid w:val="00C37286"/>
    <w:rsid w:val="00C41668"/>
    <w:rsid w:val="00C44F7A"/>
    <w:rsid w:val="00C45666"/>
    <w:rsid w:val="00C47754"/>
    <w:rsid w:val="00C47D30"/>
    <w:rsid w:val="00C500E2"/>
    <w:rsid w:val="00C5024B"/>
    <w:rsid w:val="00C600E8"/>
    <w:rsid w:val="00C64618"/>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10B90"/>
    <w:rsid w:val="00D113F1"/>
    <w:rsid w:val="00D12387"/>
    <w:rsid w:val="00D13663"/>
    <w:rsid w:val="00D149A1"/>
    <w:rsid w:val="00D17B15"/>
    <w:rsid w:val="00D20884"/>
    <w:rsid w:val="00D22687"/>
    <w:rsid w:val="00D26951"/>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71699"/>
    <w:rsid w:val="00D73493"/>
    <w:rsid w:val="00D74098"/>
    <w:rsid w:val="00D74264"/>
    <w:rsid w:val="00D74DEF"/>
    <w:rsid w:val="00D81C1F"/>
    <w:rsid w:val="00D83636"/>
    <w:rsid w:val="00D85F98"/>
    <w:rsid w:val="00D869C3"/>
    <w:rsid w:val="00D905D5"/>
    <w:rsid w:val="00D91AE1"/>
    <w:rsid w:val="00DA4689"/>
    <w:rsid w:val="00DA474C"/>
    <w:rsid w:val="00DA4891"/>
    <w:rsid w:val="00DA6B7D"/>
    <w:rsid w:val="00DB02C0"/>
    <w:rsid w:val="00DB0357"/>
    <w:rsid w:val="00DB2227"/>
    <w:rsid w:val="00DB79E4"/>
    <w:rsid w:val="00DC06A4"/>
    <w:rsid w:val="00DC2BF8"/>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6183"/>
    <w:rsid w:val="00E072D8"/>
    <w:rsid w:val="00E10C0D"/>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6ECC"/>
    <w:rsid w:val="00E57FEE"/>
    <w:rsid w:val="00E629C3"/>
    <w:rsid w:val="00E715FD"/>
    <w:rsid w:val="00E71601"/>
    <w:rsid w:val="00E71F11"/>
    <w:rsid w:val="00E736B3"/>
    <w:rsid w:val="00E73C8D"/>
    <w:rsid w:val="00E758D8"/>
    <w:rsid w:val="00E7728D"/>
    <w:rsid w:val="00E7795C"/>
    <w:rsid w:val="00E83C37"/>
    <w:rsid w:val="00E87B8E"/>
    <w:rsid w:val="00E900D1"/>
    <w:rsid w:val="00E90673"/>
    <w:rsid w:val="00E92149"/>
    <w:rsid w:val="00E926EA"/>
    <w:rsid w:val="00E932CE"/>
    <w:rsid w:val="00E9330B"/>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2F45"/>
    <w:rsid w:val="00F64615"/>
    <w:rsid w:val="00F65669"/>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ska.krohova@crestcom.cz"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C9DB-2F8C-46AB-9885-E5F25284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1123</Words>
  <Characters>6632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7740</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Gabriela Hampejsová</cp:lastModifiedBy>
  <cp:revision>2</cp:revision>
  <cp:lastPrinted>2015-11-30T16:29:00Z</cp:lastPrinted>
  <dcterms:created xsi:type="dcterms:W3CDTF">2022-07-13T14:32:00Z</dcterms:created>
  <dcterms:modified xsi:type="dcterms:W3CDTF">2022-07-13T14:32:00Z</dcterms:modified>
</cp:coreProperties>
</file>